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>Organizacja dyżuru wakacyjnego w przedszkolach w 2022 roku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Dyżur wakacyjny w roku szkolnym 2021/2022 pełnią: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6345" w:type="dxa"/>
        <w:jc w:val="left"/>
        <w:tblInd w:w="120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39"/>
        <w:gridCol w:w="4305"/>
      </w:tblGrid>
      <w:tr>
        <w:trPr/>
        <w:tc>
          <w:tcPr>
            <w:tcW w:w="2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</w:p>
        </w:tc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</w:t>
            </w:r>
          </w:p>
        </w:tc>
      </w:tr>
      <w:tr>
        <w:trPr/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– 15.07.2022</w:t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2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7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11</w:t>
            </w:r>
          </w:p>
        </w:tc>
      </w:tr>
      <w:tr>
        <w:trPr/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 – 29.07.2022</w:t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3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 5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10</w:t>
            </w:r>
          </w:p>
        </w:tc>
      </w:tr>
      <w:tr>
        <w:trPr/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 – 12.08.2022</w:t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12</w:t>
            </w:r>
          </w:p>
        </w:tc>
      </w:tr>
      <w:tr>
        <w:trPr/>
        <w:tc>
          <w:tcPr>
            <w:tcW w:w="2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 – 31.08.2022</w:t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6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9</w:t>
            </w:r>
          </w:p>
        </w:tc>
      </w:tr>
      <w:tr>
        <w:trPr/>
        <w:tc>
          <w:tcPr>
            <w:tcW w:w="2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6" w:space="0" w:color="000080"/>
              <w:left w:val="single" w:sz="6" w:space="0" w:color="000001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14</w:t>
            </w:r>
          </w:p>
        </w:tc>
      </w:tr>
    </w:tbl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1. Dyżur wakacyjny organizowany jest dla dzieci w wieku przedszkolnym uczęszczających w roku szkolnym 2021/2022 do przedszkoli lub oddziałów przedszkolnych w szkołach podstawowych prowadzonych przez Gminę Legionowo.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>
          <w:sz w:val="20"/>
          <w:szCs w:val="20"/>
        </w:rPr>
        <w:t xml:space="preserve">2. Zapisy na dyżur wakacyjny prowadzone są z wykorzystaniem systemu elektronicznego od 20 kwietnia  do 29 kwietnia 2022 r.  zgodnie z harmonogramem. Strona zapisów na dyżur wakacyjny dla rodziców: </w:t>
      </w:r>
      <w:hyperlink r:id="rId2">
        <w:r>
          <w:rPr>
            <w:rStyle w:val="Czeinternetowe"/>
            <w:sz w:val="20"/>
            <w:szCs w:val="20"/>
          </w:rPr>
          <w:t>https://legionowo-dyzury.pzo.edu.pl</w:t>
        </w:r>
      </w:hyperlink>
      <w:r>
        <w:rPr>
          <w:sz w:val="20"/>
          <w:szCs w:val="20"/>
        </w:rPr>
        <w:t xml:space="preserve"> zostanie udostępniona 20 kwietnia 2022 r. od godz. 9.00.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3. We wszystkich dyżurujących przedszkolach obowiązują te same zasady, terminy i kryteria.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4. We wniosku o przyjęcie dziecka na dyżur wakacyjny można wskazać maksymalnie 3 przedszkola dyżurujące w danym terminie.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5. Pierwszeństwo w przyjęciu dziecka na dyżur wakacyjny mają dzieci uczęszczające do dyżurującego przedszkola, a następnie dzieci z innych przedszkoli i oddziałów przedszkolnych w szkołach podstawowych/zespołach szkolno-przedszkolnych.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6. Kolejność przyjęć na dyżur wakacyjny ustala dyrektor przedszkola. W przypadku grupy kandydatów spełniających te same kryteria, dyrektor bierze pod uwagę wnioski dotyczące rodzeństwa oraz miejsce przedszkola na liście preferencji (w porządku od najbardziej do najmniej preferowanego).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7. Dostęp do systemu zapisów możliwy jest za pomocą hasła utworzonego przez rodziców/prawnych opiekunów w elektronicznym systemie zapisów na dyżur wakacyjny.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8. Po zalogowaniu się w systemie rodzice/prawni opiekunowie:</w:t>
      </w:r>
    </w:p>
    <w:p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uzupełniają dane dziecka,</w:t>
      </w:r>
    </w:p>
    <w:p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wskazują: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turnusy w kolejności chronologicznej od turnusu najwcześniejszego,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przedszkola w każdym z wybranych turnusów w kolejności od najbardziej   preferowanego,</w:t>
      </w:r>
    </w:p>
    <w:p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zapisują wniosek w systemie.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9. Rodzice/prawni opiekunowie niekorzystający z komputera i internetu:</w:t>
      </w:r>
    </w:p>
    <w:p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pobierają wniosek w przedszkolu/szkole,</w:t>
      </w:r>
    </w:p>
    <w:p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wypełniają go odręcznie i po podpisaniu składają w przedszkolu pierwszego wyboru,</w:t>
      </w:r>
    </w:p>
    <w:p>
      <w:pPr>
        <w:pStyle w:val="Standar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informacje zawarte we wniosku wprowadza do systemu informatycznego dyrektor lub upoważniony pracownik przedszkola.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10. Ze względów organizacyjnych i rozliczeniowych zapisu na dyżur wakacyjny można dokonać jedynie na cały turnus 2 lub 3 tygodniowy. Brak jest możliwości wyboru dni w ramach turnusu.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11. Informacja o zakwalifikowaniu dziecka na dyżur wakacyjny będzie dostępna w elektronicznym systemie zapisów oraz w przedszkolu, do którego dziecko zostanie zakwalifikowane.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12. Potwierdzeniem korzystania z miejsca w przedszkolu dyżurującym, do którego dziecko zostało zakwalifikowane jest:</w:t>
      </w:r>
    </w:p>
    <w:p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wydrukowanie i złożenie wniosku wraz z potwierdzeniem wniesienia opłaty za wyżywienie przez  rodziców, którzy wypełnili  i zapisali wniosek w systemie,</w:t>
      </w:r>
    </w:p>
    <w:p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złożenie potwierdzenia wniesienia opłaty za wyżywienie przez rodziców, którzy wypełnili i złożyli wniosek w formie papierowej w przedszkolu.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Opłata za wyżywienie dokonywana jest na rachunek bankowy dyżurującego przedszkola w terminie 14 dni od dnia opublikowania informacji o zakwalifikowaniu. W treści przelewu należy wpisać „opłata za  wyżywienie – dyżur wakacyjny 2022 imię i nazwisko dziecka”.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Brak złożenia wniosku wraz z potwierdzeniem wniesienia opłaty we wskazanym w harmonogramie terminie oznacza rezygnację z miejsca w dyżurującym przedszkolu.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13. Zwrot różnicy pomiędzy wpłatą za wyżywienie dokonana w wyznaczonym terminie na dyżur wakacyjny a należnością wynikającą z obecności dziecka na dyżurze nastąpi do 30 września 2022 r. wyłącznie bezgotówkowo na rachunek bankowy wskazany przez rodzica we wniosku o przyjęcie dziecka na dyżur wakacyjny.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14. Rodzice/prawni opiekunowie dzieci, które nie zostały przyjęte na dyżur do wybranych przedszkoli, mogą zgłaszać się do innej dyżurującej placówki, która dysponuje wolnymi miejscami.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15. Wykaz wolnych miejsc zostanie opublikowany w elektronicznym systemie zapisów w terminach określonych w harmonogramie.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16. Brak zgłoszenia nieobecności dziecka w pierwszym dniu dyżuru wakacyjnego będzie skutkował skreśleniem dziecka z listy przyjętych na dyżur.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17. Przyjęcie dziecka na dyżur wakacyjny po upływie terminów określonych w harmonogramie jest uzależnione od decyzji dyrektora przedszkola, które dysponuje wolnymi miejscami.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Harmonogram zapisów na dyżury wakacyjne w przedszkolach w 202</w:t>
      </w:r>
      <w:r>
        <w:rPr>
          <w:rFonts w:cs="Times New Roman" w:ascii="Times New Roman" w:hAnsi="Times New Roman"/>
          <w:b/>
          <w:bCs/>
          <w:sz w:val="20"/>
          <w:szCs w:val="20"/>
        </w:rPr>
        <w:t>2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638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07"/>
        <w:gridCol w:w="2412"/>
        <w:gridCol w:w="4819"/>
      </w:tblGrid>
      <w:tr>
        <w:trPr/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Data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Etapy zapisów/czynność rodzica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od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do</w:t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20 kwietnia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od godz. 9.00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FF3333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29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 xml:space="preserve"> kwietnia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do godz. 16.00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Rejestracja w systemie wniosków o przyjecie na dyżur. Rodzic dokonuje rejestracji, nie będzie możliwości pobrania wniosku. Wniosek do pobrania będzie dostępny dopiero po kwalifikacji.</w:t>
            </w:r>
          </w:p>
        </w:tc>
      </w:tr>
      <w:tr>
        <w:trPr/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maja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godz.12.00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Informacja o zakwalifikowaniu dziecka na dyżur wakacyjny.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Informacja będzie dostępna w elektronicznym systemie zapisów oraz przedszkolu, do którego dziecko zostanie zakwalifikowane.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Uwaga! Od 1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 xml:space="preserve"> maja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, rodzic będzie miał możliwość po zalogowaniu się na konto dziecka, pobrania wniosku na dyżur wakacyjny.</w:t>
            </w:r>
          </w:p>
        </w:tc>
      </w:tr>
      <w:tr>
        <w:trPr/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color w:val="FF3333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 xml:space="preserve"> maja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24 maja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Potwierdzenie korzystania z miejsca w przedszkolu, do którego dziecko zostało zakwalifikowane –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wniesienie opłaty za wyżywienie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3333"/>
                <w:sz w:val="18"/>
                <w:szCs w:val="18"/>
                <w:u w:val="none"/>
                <w:lang w:val="pl-PL"/>
              </w:rPr>
              <w:t>Uwaga!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Potwierdzenie zapisu na dyżur wakacyjny do placówki,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do której dziecko zostało zakwalifikowane  jest złożenie wniosku wraz z potwierdzeniem wpłaty.</w:t>
            </w:r>
          </w:p>
        </w:tc>
      </w:tr>
      <w:tr>
        <w:trPr/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30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maja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godz.13.00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Informacja o przyjęciu dziecka na dyżur wakacyjny. Informacja będzie dostępna w elektronicznym systemie zapisów oraz w przedszkolu, do którego dziecko zostanie przyjęte.</w:t>
            </w:r>
          </w:p>
        </w:tc>
      </w:tr>
      <w:tr>
        <w:trPr/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30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maja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godz. 14.00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Publikacja wykazu wolnych miejsc na stronie systemu zapisów ze wskazaniem przedszkoli.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"/>
      <w:lvlJc w:val="left"/>
      <w:pPr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"/>
      <w:lvlJc w:val="left"/>
      <w:pPr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"/>
      <w:lvlJc w:val="left"/>
      <w:pPr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"/>
      <w:lvlJc w:val="left"/>
      <w:pPr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"/>
      <w:lvlJc w:val="left"/>
      <w:pPr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"/>
      <w:lvlJc w:val="left"/>
      <w:pPr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"/>
      <w:lvlJc w:val="left"/>
      <w:pPr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"/>
      <w:lvlJc w:val="left"/>
      <w:pPr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uiPriority w:val="99"/>
    <w:unhideWhenUsed/>
    <w:rsid w:val="0042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25408"/>
    <w:rPr>
      <w:color w:val="605E5C"/>
      <w:shd w:fill="E1DFDD" w:val="clear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ionowo-dyzury.pzo.edu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LibreOffice/5.1.1.3$Windows_x86 LibreOffice_project/89f508ef3ecebd2cfb8e1def0f0ba9a803b88a6d</Application>
  <Pages>2</Pages>
  <Words>761</Words>
  <Characters>4870</Characters>
  <CharactersWithSpaces>5573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2022-03-30T14:59:00Z</dcterms:created>
  <dc:creator>Agnieszka Haś-Majewska</dc:creator>
  <dc:description/>
  <dc:language>pl-PL</dc:language>
  <cp:lastModifiedBy/>
  <cp:lastPrinted>2022-03-31T11:58:23Z</cp:lastPrinted>
  <dcterms:modified xsi:type="dcterms:W3CDTF">2022-03-31T11:58:46Z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